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+*xfs*pvs*Akl*cvA*xBj*tay*CcE*sha*mhs*cEc*pBk*-</w:t>
            </w:r>
            <w:r>
              <w:rPr>
                <w:rFonts w:ascii="PDF417x" w:hAnsi="PDF417x"/>
                <w:sz w:val="24"/>
                <w:szCs w:val="24"/>
              </w:rPr>
              <w:br/>
              <w:t>+*yqw*usc*jli*irs*ugc*yla*icz*uwD*tDE*xCc*zew*-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+*eDs*ors*lyd*lyd*lyd*Dlg*tuy*Bcy*nob*Bqj*zfE*-</w:t>
            </w:r>
            <w:r>
              <w:rPr>
                <w:rFonts w:ascii="PDF417x" w:hAnsi="PDF417x"/>
                <w:sz w:val="24"/>
                <w:szCs w:val="24"/>
              </w:rPr>
              <w:br/>
              <w:t>+*ftw*kni*Cgs*wyv*nCc*Akv*oks*Dno*gDB*Dnm*onA*-</w:t>
            </w:r>
            <w:r>
              <w:rPr>
                <w:rFonts w:ascii="PDF417x" w:hAnsi="PDF417x"/>
                <w:sz w:val="24"/>
                <w:szCs w:val="24"/>
              </w:rPr>
              <w:br/>
              <w:t>+*ftA*uBo*yFa*knm*Brt*rjm*xlm*zha*ptA*nnx*uws*-</w:t>
            </w:r>
            <w:r>
              <w:rPr>
                <w:rFonts w:ascii="PDF417x" w:hAnsi="PDF417x"/>
                <w:sz w:val="24"/>
                <w:szCs w:val="24"/>
              </w:rPr>
              <w:br/>
              <w:t>+*xjq*Ety*fBy*wnt*gFs*bAn*boc*ECj*vcz*Day*uzq*-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243AD8B6" w14:textId="5C2798A1" w:rsidR="00D01802" w:rsidRDefault="00D01802" w:rsidP="00D01802"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5CAE4285" wp14:editId="06CCFDC3">
            <wp:simplePos x="0" y="0"/>
            <wp:positionH relativeFrom="column">
              <wp:posOffset>346296</wp:posOffset>
            </wp:positionH>
            <wp:positionV relativeFrom="paragraph">
              <wp:posOffset>0</wp:posOffset>
            </wp:positionV>
            <wp:extent cx="520065" cy="666750"/>
            <wp:effectExtent l="0" t="0" r="0" b="0"/>
            <wp:wrapTight wrapText="bothSides">
              <wp:wrapPolygon edited="0">
                <wp:start x="3956" y="0"/>
                <wp:lineTo x="0" y="1851"/>
                <wp:lineTo x="791" y="14811"/>
                <wp:lineTo x="3165" y="20366"/>
                <wp:lineTo x="5538" y="20983"/>
                <wp:lineTo x="15033" y="20983"/>
                <wp:lineTo x="17407" y="20366"/>
                <wp:lineTo x="19780" y="14194"/>
                <wp:lineTo x="20571" y="1851"/>
                <wp:lineTo x="16615" y="0"/>
                <wp:lineTo x="3956" y="0"/>
              </wp:wrapPolygon>
            </wp:wrapTight>
            <wp:docPr id="52716855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8704035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988348" w14:textId="77777777" w:rsidR="00D01802" w:rsidRDefault="00D01802" w:rsidP="00D01802">
      <w:pPr>
        <w:rPr>
          <w:sz w:val="28"/>
          <w:szCs w:val="28"/>
        </w:rPr>
      </w:pPr>
    </w:p>
    <w:p w14:paraId="13D7FB9C" w14:textId="77777777" w:rsidR="00D01802" w:rsidRDefault="00D01802" w:rsidP="00D01802">
      <w:pPr>
        <w:rPr>
          <w:sz w:val="28"/>
          <w:szCs w:val="28"/>
        </w:rPr>
      </w:pPr>
    </w:p>
    <w:p w14:paraId="75F1075E" w14:textId="7CCBACBD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REPUBLIKA HRVATSKA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  <w:t xml:space="preserve">                    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>RAZINA: 23</w:t>
      </w:r>
    </w:p>
    <w:p w14:paraId="3AB4936A" w14:textId="0E6DC323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OSJEČKO-BARANJSKA ŽUPANIJA</w:t>
      </w:r>
      <w:r w:rsidRPr="00D01802">
        <w:rPr>
          <w:rFonts w:ascii="Times New Roman" w:hAnsi="Times New Roman" w:cs="Times New Roman"/>
        </w:rPr>
        <w:tab/>
        <w:t xml:space="preserve">                  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>RKP: 35999</w:t>
      </w:r>
    </w:p>
    <w:p w14:paraId="3C882F09" w14:textId="6A7B035E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OPĆINA KNEŽEVI VINOGRADI                                  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>Matični broj: 02551900</w:t>
      </w:r>
    </w:p>
    <w:p w14:paraId="4F814AD4" w14:textId="2049DB28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KLASA: 400-01/25-01/05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  <w:t xml:space="preserve">                    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>OIB: 35938293122</w:t>
      </w:r>
    </w:p>
    <w:p w14:paraId="2E2089B3" w14:textId="23E3DBC6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URBROJ: 2158-23-03/04-25-01 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>Djelatnost: 8411</w:t>
      </w:r>
    </w:p>
    <w:p w14:paraId="314F53F9" w14:textId="77777777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  <w:t xml:space="preserve">               </w:t>
      </w:r>
    </w:p>
    <w:p w14:paraId="4B5536EC" w14:textId="77777777" w:rsidR="00D01802" w:rsidRPr="00D01802" w:rsidRDefault="00D01802" w:rsidP="00D01802">
      <w:pPr>
        <w:rPr>
          <w:rFonts w:ascii="Times New Roman" w:hAnsi="Times New Roman" w:cs="Times New Roman"/>
          <w:color w:val="FF0000"/>
        </w:rPr>
      </w:pPr>
      <w:r w:rsidRPr="00D01802">
        <w:rPr>
          <w:rFonts w:ascii="Times New Roman" w:hAnsi="Times New Roman" w:cs="Times New Roman"/>
        </w:rPr>
        <w:t>Kneževi Vinogradi, 22.2.2025.</w:t>
      </w:r>
    </w:p>
    <w:p w14:paraId="1F28CFCE" w14:textId="77777777" w:rsidR="00D01802" w:rsidRPr="00D01802" w:rsidRDefault="00D01802" w:rsidP="00D01802">
      <w:pPr>
        <w:rPr>
          <w:rFonts w:ascii="Times New Roman" w:hAnsi="Times New Roman" w:cs="Times New Roman"/>
        </w:rPr>
      </w:pPr>
    </w:p>
    <w:p w14:paraId="7BB8E407" w14:textId="77777777" w:rsidR="00D01802" w:rsidRPr="00D01802" w:rsidRDefault="00D01802" w:rsidP="00D01802">
      <w:pPr>
        <w:rPr>
          <w:rFonts w:ascii="Times New Roman" w:hAnsi="Times New Roman" w:cs="Times New Roman"/>
        </w:rPr>
      </w:pPr>
    </w:p>
    <w:p w14:paraId="7F10EAB5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47091FDC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4418095F" w14:textId="77777777" w:rsid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23EEEC66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692C622B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66BEF199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46475C97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3AB7D6CF" w14:textId="77777777" w:rsidR="00D01802" w:rsidRPr="00D01802" w:rsidRDefault="00D01802" w:rsidP="00D01802">
      <w:pPr>
        <w:jc w:val="center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BILJEŠKE UZ KONSOLIDIRANE FINANCIJSKE IZVJEŠTAJE</w:t>
      </w:r>
    </w:p>
    <w:p w14:paraId="39B8A7C1" w14:textId="77777777" w:rsidR="00D01802" w:rsidRPr="00D01802" w:rsidRDefault="00D01802" w:rsidP="00D01802">
      <w:pPr>
        <w:jc w:val="center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PRORAČUNA OPĆINE KNEŽEVI VINOGRADI</w:t>
      </w:r>
    </w:p>
    <w:p w14:paraId="7C0867CF" w14:textId="77777777" w:rsidR="00D01802" w:rsidRPr="00D01802" w:rsidRDefault="00D01802" w:rsidP="00D01802">
      <w:pPr>
        <w:jc w:val="center"/>
        <w:rPr>
          <w:rFonts w:ascii="Times New Roman" w:hAnsi="Times New Roman" w:cs="Times New Roman"/>
          <w:b/>
        </w:rPr>
      </w:pPr>
    </w:p>
    <w:p w14:paraId="69836217" w14:textId="77777777" w:rsidR="00D01802" w:rsidRPr="00D01802" w:rsidRDefault="00D01802" w:rsidP="00D01802">
      <w:pPr>
        <w:jc w:val="center"/>
        <w:rPr>
          <w:rFonts w:ascii="Times New Roman" w:hAnsi="Times New Roman" w:cs="Times New Roman"/>
          <w:b/>
        </w:rPr>
      </w:pPr>
    </w:p>
    <w:p w14:paraId="7056E9CA" w14:textId="77777777" w:rsidR="00D01802" w:rsidRPr="00D01802" w:rsidRDefault="00D01802" w:rsidP="00D01802">
      <w:pPr>
        <w:jc w:val="center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Za razdoblje od 01.01. do 31.12.2024. godine</w:t>
      </w:r>
    </w:p>
    <w:p w14:paraId="5153D7A1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18840F09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1D41940E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77D99102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709CF535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5077D948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20D76FB5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03E53059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0A7C85A6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661FF770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73645E20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6C7BD4AE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659AF625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04E1C8AE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64DC6984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76C8D088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10F4DA9C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1C73470D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0D796FEE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06C7A567" w14:textId="77777777" w:rsidR="00D01802" w:rsidRPr="00D01802" w:rsidRDefault="00D01802" w:rsidP="00D01802">
      <w:pPr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                    </w:t>
      </w:r>
    </w:p>
    <w:p w14:paraId="34210CC7" w14:textId="77777777" w:rsidR="00D01802" w:rsidRPr="00D01802" w:rsidRDefault="00D01802" w:rsidP="00D01802">
      <w:pPr>
        <w:rPr>
          <w:rFonts w:ascii="Times New Roman" w:hAnsi="Times New Roman" w:cs="Times New Roman"/>
          <w:b/>
        </w:rPr>
      </w:pPr>
    </w:p>
    <w:p w14:paraId="0DF3172B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5F12DCF7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1C76331D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24DFC4B5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48690FE5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169E3088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3A6733EE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495A2AFF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0FCA84A4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689E96F8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0C96996C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760C36CC" w14:textId="77777777" w:rsid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72F3F625" w14:textId="08887564" w:rsidR="00D01802" w:rsidRP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lastRenderedPageBreak/>
        <w:t xml:space="preserve">Općina Kneževi Vinogradi ima jednog proračunskog korisnika koji je obuhvaćen konsolidacijom, a radi se o Dječjem vrtiću „Zeko“ iz Kneževih Vinograda. Ostali proračunski korisnici su u sklopu proračuna Općine Kneževi Vinogradi.  </w:t>
      </w:r>
    </w:p>
    <w:p w14:paraId="1436F111" w14:textId="77777777" w:rsidR="00D01802" w:rsidRP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1ACAC3F6" w14:textId="77777777" w:rsidR="00D01802" w:rsidRP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6FCC8357" w14:textId="77777777" w:rsidR="00D01802" w:rsidRPr="00D01802" w:rsidRDefault="00D01802" w:rsidP="00D0180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PR-RAS</w:t>
      </w:r>
    </w:p>
    <w:p w14:paraId="13D78BAE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4F165B6A" w14:textId="77777777" w:rsidR="00D01802" w:rsidRPr="00D01802" w:rsidRDefault="00D01802" w:rsidP="00D01802">
      <w:pPr>
        <w:ind w:firstLine="708"/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Prihodi poslovanja ostvareni su u iznosu od 3.762.170,77 €, a sastoje se od:</w:t>
      </w:r>
    </w:p>
    <w:p w14:paraId="27BDDD1B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prihoda od poreza u iznosu od 798.833,38  €</w:t>
      </w:r>
    </w:p>
    <w:p w14:paraId="39D8285B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pomoći iz proračuna (tekuće i kapitalne), te pomoći od ostalih subjekata unutar opće države u iznosu od 1.842.314,28 €</w:t>
      </w:r>
    </w:p>
    <w:p w14:paraId="3490F2D7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prihoda od imovine u iznosu od 686.009,90  €</w:t>
      </w:r>
    </w:p>
    <w:p w14:paraId="37C0FC65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prihoda od administrativnih pristojbi i po posebnim propisima (komunalna naknada, komunalni doprinos, šumski doprinos…) u iznosu od 383.922,32 €</w:t>
      </w:r>
    </w:p>
    <w:p w14:paraId="019F83D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prihoda od prodaje proizvoda i roba, te pruženih usluga i prihodi od donacija u iznosu od 27.765,17 €</w:t>
      </w:r>
    </w:p>
    <w:p w14:paraId="5F90833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kazne, upravne mjere i ostali prihodi u iznosu od 23.325,72 €.</w:t>
      </w:r>
    </w:p>
    <w:p w14:paraId="4607188B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194574F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18A449B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  <w:t>Prihodi od prodaje nefinancijske imovine ostvareni su u iznosu od 127.551,26 €, a sastoje se od:</w:t>
      </w:r>
    </w:p>
    <w:p w14:paraId="71AC0D1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prodaje poljoprivrednog i građevinskog zemljišta u iznosu od  117.820,10 €</w:t>
      </w:r>
    </w:p>
    <w:p w14:paraId="707E82D1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prodaje stambenih objekata u iznosu od 9.731,16 €.</w:t>
      </w:r>
    </w:p>
    <w:p w14:paraId="406D81F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41EB15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68858E86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  <w:t>Primici od financijske imovine i zaduživanja ostvareni su u iznosu od 236.270,08 €, a sastoje se od:</w:t>
      </w:r>
    </w:p>
    <w:p w14:paraId="66B98E8F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primljenih kredita od tuzemnih kreditnih institucija izvan javnog sektora u iznosu od 236.270,08 €.</w:t>
      </w:r>
    </w:p>
    <w:p w14:paraId="256A37A7" w14:textId="77777777" w:rsidR="00D01802" w:rsidRP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</w:p>
    <w:p w14:paraId="76E5B571" w14:textId="77777777" w:rsidR="00D01802" w:rsidRPr="00D01802" w:rsidRDefault="00D01802" w:rsidP="00D01802">
      <w:pPr>
        <w:ind w:firstLine="360"/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</w:p>
    <w:p w14:paraId="656E9D98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Općina Kneževi Vinogradi je prilikom sastavljanja konsolidiranog izvještaja eliminirala prihode iz proračuna za financiranje redovne djelatnosti dječjeg vrtića „Zeko“ u iznosu od 296.417,67 €, koje je dječji vrtić „Zeko“ iskazao na podskupini 671. Ostali prihodi zbrojeni su u ukupne prihode u konsolidiranom izvještaju.</w:t>
      </w:r>
    </w:p>
    <w:p w14:paraId="5FA0BFA3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4D63804A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7D3D7836" w14:textId="77777777" w:rsidR="00D01802" w:rsidRPr="00D01802" w:rsidRDefault="00D01802" w:rsidP="00D01802">
      <w:pPr>
        <w:ind w:firstLine="708"/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Rashodi poslovanja iznose 2.598.972,42 €, a sastoje se od: </w:t>
      </w:r>
    </w:p>
    <w:p w14:paraId="3A39ADF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rashoda za zaposlene u iznosu od 601.381,24 €</w:t>
      </w:r>
    </w:p>
    <w:p w14:paraId="51D3005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materijalnih rashoda u iznosu od 1.197.527,86 €</w:t>
      </w:r>
    </w:p>
    <w:p w14:paraId="26C10B3C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- financijskih rashoda u iznosu od 44.302,00 € </w:t>
      </w:r>
    </w:p>
    <w:p w14:paraId="56D8B96A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subvencije u iznosu od 113.629,43 €</w:t>
      </w:r>
    </w:p>
    <w:p w14:paraId="534DEF5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pomoći koje su dane unutar općeg proračuna u iznosu od 22.547,33 €</w:t>
      </w:r>
    </w:p>
    <w:p w14:paraId="6FE3187E" w14:textId="77777777" w:rsidR="00D01802" w:rsidRPr="00D01802" w:rsidRDefault="00D01802" w:rsidP="00D01802">
      <w:pPr>
        <w:ind w:left="284" w:hanging="284"/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naknada građanima i kućanstvima po programima u iznosu od 253.209,58 €</w:t>
      </w:r>
    </w:p>
    <w:p w14:paraId="762F95B4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ostalih rashoda u iznosu od 366.374,98 €.</w:t>
      </w:r>
    </w:p>
    <w:p w14:paraId="1A8F0504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7BC03035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17066595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  <w:t>Rashodi za nabavu nefinancijske imovine iznose 1.452.288,75 €, a sastoje od:</w:t>
      </w:r>
    </w:p>
    <w:p w14:paraId="6B73B036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građevinskih objekata u iznosu od 1.423.125,44 €</w:t>
      </w:r>
    </w:p>
    <w:p w14:paraId="503BF277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postrojenja i opreme u iznosu od 29.163,31 €.</w:t>
      </w:r>
    </w:p>
    <w:p w14:paraId="26D199F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520C97A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822FCB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  <w:t>Izdaci za financijsku imovinu i otplatu zajmova iznose 233.774,75 €, a sastoje se od:</w:t>
      </w:r>
    </w:p>
    <w:p w14:paraId="01450B64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-izdataka za dionice u udjele u glavnici u iznosu od 3.332,65 €</w:t>
      </w:r>
    </w:p>
    <w:p w14:paraId="50D29CD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-otplate glavnice primljenih kredita od kreditnih institucija u javnom sektoru u iznosu od 39.816,84 €</w:t>
      </w:r>
    </w:p>
    <w:p w14:paraId="3AD7058C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-otplate glavnice primljenih kredita od tuzemnih kreditnih institucija izvan javnog sektora u iznosu od 190.625,26 €.</w:t>
      </w:r>
    </w:p>
    <w:p w14:paraId="65FCA852" w14:textId="77777777" w:rsidR="00D01802" w:rsidRDefault="00D01802" w:rsidP="00D01802">
      <w:pPr>
        <w:jc w:val="both"/>
        <w:rPr>
          <w:rFonts w:ascii="Times New Roman" w:hAnsi="Times New Roman" w:cs="Times New Roman"/>
        </w:rPr>
      </w:pPr>
    </w:p>
    <w:p w14:paraId="13FC463C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28D2312D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22B54798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lastRenderedPageBreak/>
        <w:t>Rashodi poslovanja koji su financirani iz proračuna i iskazani u proračunu su eliminirani pri sastavljanju konsolidiranog izvještaja. Ostali rashodi proračunskog korisnika financirani iz ostalih izvora dodani su pri konsolidaciji.</w:t>
      </w:r>
    </w:p>
    <w:p w14:paraId="1F88473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A95F572" w14:textId="501F23EB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</w:r>
    </w:p>
    <w:p w14:paraId="75F5EC21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7670A665" w14:textId="190FF294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D01802">
        <w:rPr>
          <w:rFonts w:ascii="Times New Roman" w:hAnsi="Times New Roman" w:cs="Times New Roman"/>
        </w:rPr>
        <w:t>Ukupni prihodi i primici</w:t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</w:t>
      </w:r>
      <w:r w:rsidRPr="00D01802">
        <w:rPr>
          <w:rFonts w:ascii="Times New Roman" w:hAnsi="Times New Roman" w:cs="Times New Roman"/>
        </w:rPr>
        <w:t xml:space="preserve">4.125.992,11 </w:t>
      </w:r>
    </w:p>
    <w:p w14:paraId="5AAC6CFF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          Ukupni rashodi i izdaci                                         4.285.035,92  </w:t>
      </w:r>
    </w:p>
    <w:p w14:paraId="23DE59AA" w14:textId="77777777" w:rsidR="00D01802" w:rsidRPr="00D01802" w:rsidRDefault="00D01802" w:rsidP="00D01802">
      <w:pPr>
        <w:jc w:val="both"/>
        <w:rPr>
          <w:rFonts w:ascii="Times New Roman" w:hAnsi="Times New Roman" w:cs="Times New Roman"/>
          <w:u w:val="single"/>
        </w:rPr>
      </w:pPr>
      <w:r w:rsidRPr="00D01802">
        <w:rPr>
          <w:rFonts w:ascii="Times New Roman" w:hAnsi="Times New Roman" w:cs="Times New Roman"/>
        </w:rPr>
        <w:t xml:space="preserve">          </w:t>
      </w:r>
      <w:r w:rsidRPr="00D01802">
        <w:rPr>
          <w:rFonts w:ascii="Times New Roman" w:hAnsi="Times New Roman" w:cs="Times New Roman"/>
          <w:u w:val="single"/>
        </w:rPr>
        <w:t>Preneseni višak poslovanja                                      558.445,32</w:t>
      </w:r>
    </w:p>
    <w:p w14:paraId="24229F3C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</w:rPr>
        <w:t xml:space="preserve">          </w:t>
      </w:r>
      <w:r w:rsidRPr="00D01802">
        <w:rPr>
          <w:rFonts w:ascii="Times New Roman" w:hAnsi="Times New Roman" w:cs="Times New Roman"/>
          <w:b/>
        </w:rPr>
        <w:t>Ukupni višak                                                          399.401,51</w:t>
      </w:r>
    </w:p>
    <w:p w14:paraId="5F43776B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5C51BB5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68CFBE1" w14:textId="77777777" w:rsidR="00D01802" w:rsidRPr="00D01802" w:rsidRDefault="00D01802" w:rsidP="00D01802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29A7C99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Značajna odstupanja u odnosu na prethodnu godinu:</w:t>
      </w:r>
    </w:p>
    <w:p w14:paraId="24ECAFEC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2725A7F5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- 6331 Tekuće pomoći proračuna iz drugih proračuna i izvanproračunskim korisnicima – do povećanja u odnosu na prošlu godinu je došlo zbog doznačenih sredstava za fiskalnu održivost dječjeg vrtića</w:t>
      </w:r>
    </w:p>
    <w:p w14:paraId="6AA936D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- 6332 Kapitalne pomoći proračunu iz drugih proračuna i izvanproračunskim korisnicima – do povećanja u odnosu na prošlu godinu je došlo zbog doznačenih sredstava Osječko-baranjske županije za zamjenu rasvjete na nogometnom igralištu u Kn. Vinogradima (UG 76/24), zbog doznačenih sredstava Ministarstva turizma i sporta za izgradnju tenis terena na otvorenom u Kneževim Vinogradima (UG 99/24), zbog doznačenih sredstava Ministarstva prostornog uređenja, graditeljstva i državne imovine za rekonstrukciju i uređenje Doma mladih u Suzi (UG 201/24) i zbog doznačenih sredstava Ministarstva regionalnog razvoja i fondova EU za izgradnju multifunkcionalnog igrališta u Zmajevcu-Vašarište (UG 153/24)</w:t>
      </w:r>
    </w:p>
    <w:p w14:paraId="78A907CD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- 6361 Tekuće pomoći proračunskim korisnicima iz proračuna koji im nije nadležan – MRRFEU je u 2023. godini proračunskom korisniku DV Zeko doznačilo sredstva za odobren projekt sanacije zgrade područnog vrtića u Suzi</w:t>
      </w:r>
    </w:p>
    <w:p w14:paraId="079D4ACC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bookmarkStart w:id="1" w:name="_Hlk108346308"/>
      <w:r w:rsidRPr="00D01802">
        <w:rPr>
          <w:rFonts w:ascii="Times New Roman" w:hAnsi="Times New Roman" w:cs="Times New Roman"/>
        </w:rPr>
        <w:t>- 6531 Komunalni doprinos – u 2023. godini izdano je rješenje obvezniku za građenje građevine ugostiteljsko-turističke namjene koje je plaćeno u cijelosti (jednokratno)</w:t>
      </w:r>
    </w:p>
    <w:bookmarkEnd w:id="1"/>
    <w:p w14:paraId="384B296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- 6631 Tekuće donacije – do povećanja u odnosu na prošlu godinu je došlo jer su u 2024. godini doznačena sredstva za rad knjižnice Vijeća srpske nacionalne manjine za 2023. i 2024. godinu </w:t>
      </w:r>
      <w:bookmarkStart w:id="2" w:name="_Hlk108348020"/>
      <w:r w:rsidRPr="00D01802">
        <w:rPr>
          <w:rFonts w:ascii="Times New Roman" w:hAnsi="Times New Roman" w:cs="Times New Roman"/>
        </w:rPr>
        <w:t xml:space="preserve">od strane Zajedničkog vijeća Općina  </w:t>
      </w:r>
    </w:p>
    <w:p w14:paraId="367F741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- 6632 Kapitalne donacije – u 2023. godini doznačena je donacija za izgradnju nogometnog igrališta s umjetnom travom (UG 172/2023 - NK Borac) na temelju  primljenih sredstava od strane HNS-a</w:t>
      </w:r>
    </w:p>
    <w:p w14:paraId="52944D06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- 3237 Intelektualne i osobne usluge – u 2023. godini izrađena je projektno-tehnička dokumentacija za izgradnju tenis centra i Kneževog parka</w:t>
      </w:r>
    </w:p>
    <w:p w14:paraId="1E5BB666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- 3291 Naknade za rad predstavničkih i izvršnih tijela, povjerenstava i slično – u 2023. godini isplaćena je naknada za rad na izborima za izbor članova vijeća i predstavnika nacionalnih manjina (7.5.2023.g.) te naknada povjerenstvu za zakup poljoprivrednog zemljišta u vlasništvu RH</w:t>
      </w:r>
    </w:p>
    <w:p w14:paraId="3F712B04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bookmarkStart w:id="3" w:name="_Hlk108350087"/>
      <w:bookmarkEnd w:id="2"/>
      <w:r w:rsidRPr="00D01802">
        <w:rPr>
          <w:rFonts w:ascii="Times New Roman" w:hAnsi="Times New Roman" w:cs="Times New Roman"/>
        </w:rPr>
        <w:t>- 3821 Kapitalne donacije neprofitnim organizacijama – u 2023. godini isplaćena je kapitalna pomoć Pravoslavnoj crkvenoj općini Kn. Vinogradi u svrhu izrade idejnog rješenja za izgradnju Srpskog centra kulture u KNV po ugovoru br. 23/2023</w:t>
      </w:r>
    </w:p>
    <w:p w14:paraId="738C08A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- 7211 Stambeni objekti  – u 2024. godini otplaćen</w:t>
      </w:r>
      <w:bookmarkStart w:id="4" w:name="_Hlk108350473"/>
      <w:bookmarkEnd w:id="3"/>
      <w:r w:rsidRPr="00D01802">
        <w:rPr>
          <w:rFonts w:ascii="Times New Roman" w:hAnsi="Times New Roman" w:cs="Times New Roman"/>
        </w:rPr>
        <w:t xml:space="preserve"> je jedan državni stan u cijelosti (Srđan Petrović)</w:t>
      </w:r>
    </w:p>
    <w:p w14:paraId="5E33C99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- 4111 Zemljište – u 2023. godini kupljeno je građevinsko zemljište k.č.br. 987/2 u Kneževim Vinogradima  u svrhu proširenja sportskog centra (UG 171/2023)</w:t>
      </w:r>
    </w:p>
    <w:p w14:paraId="03C9ECF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 - 4212 Poslovni objekti – </w:t>
      </w:r>
      <w:bookmarkStart w:id="5" w:name="_Hlk108350617"/>
      <w:bookmarkEnd w:id="4"/>
      <w:r w:rsidRPr="00D01802">
        <w:rPr>
          <w:rFonts w:ascii="Times New Roman" w:hAnsi="Times New Roman" w:cs="Times New Roman"/>
        </w:rPr>
        <w:t xml:space="preserve">do povećanja u odnosu na prošlu godinu je došlo zbog  izgradnje zgrade javne namjene - upravne zgrade Općine i izgradnje Interpretacijskog etno-centra Karanac </w:t>
      </w:r>
    </w:p>
    <w:p w14:paraId="7493A4C7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- 4213 Ceste, željeznice i ostali prometni objekti – do povećanja u odnosu na prošlu godinu je došlo zbog </w:t>
      </w:r>
      <w:bookmarkStart w:id="6" w:name="_Hlk108350649"/>
      <w:bookmarkEnd w:id="5"/>
      <w:r w:rsidRPr="00D01802">
        <w:rPr>
          <w:rFonts w:ascii="Times New Roman" w:hAnsi="Times New Roman" w:cs="Times New Roman"/>
        </w:rPr>
        <w:t xml:space="preserve">sanacije klizišta u Katoličkom surduku u Zmajevcu </w:t>
      </w:r>
    </w:p>
    <w:p w14:paraId="5F254E3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- 4214 Ostali građevinski objekti –  do povećanja u odnosu na prošlu godinu je došlo zbog izvođenja radova na rasvjeti sportskog centra u Kn. Vinogradima (UG 112/24) i zbog izgradnje multifunkcionalnog igrališta u Zmajevcu-Vašarište (UG 166/24)</w:t>
      </w:r>
    </w:p>
    <w:p w14:paraId="353691C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- 4221 Uredska oprema i namještaj – do povećanja u odnosu na prošlu godinu je došlo zbog  opremanja novo izgrađene upravne zgrade Općine (UG 128/24)</w:t>
      </w:r>
    </w:p>
    <w:p w14:paraId="0983A4E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- 4223 Oprema za održavanje i zaštitu – u 2023. godini nabavljena je komunalna oprema (kante za razvrstani otpad i komposteri)</w:t>
      </w:r>
    </w:p>
    <w:bookmarkEnd w:id="6"/>
    <w:p w14:paraId="1A595C47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lastRenderedPageBreak/>
        <w:t>- 8443 Primljeni krediti od tuzemnih kreditnih institucija izvan javnog sektora – do povećanja u odnosu na prošlu godinu je došlo zbog  priznavanja primitaka po dugoročnom kreditu od OTP-a d.d. za izgradnju zgrade javne namjene - upravne zgrade Općine</w:t>
      </w:r>
    </w:p>
    <w:p w14:paraId="7135D207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- 5321 Dionice i udjeli u glavnici trgovačkih društava u javnom sektoru – u ovoj godini kupljen je poslovni udio (5%) Radio Baranje d.o.o. (UG 224/24)</w:t>
      </w:r>
    </w:p>
    <w:p w14:paraId="38C7464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- 5443 Otplata glavnice primljenih kredita od tuzemnih kreditnih institucija izvan javnog sektora – do povećanja u odnosu na prošlu godinu je došlo zbog  otplate glavnice po dugoročnom kreditu od PBZ-a d.d. za radove na rekonstrukciji ceste u ulici Hrvatske Republike i izgradnji ceste u ulici Antuna Plaveca u Kn. Vinogradima, te za rekonstrukciju ulice Nikole Tesle u Karancu i zbog početka otplate glavnice po dugoročnom kreditu od OTP-a d.d. za izgradnju zgrade javne namjene - upravne zgrade Općine.</w:t>
      </w:r>
    </w:p>
    <w:p w14:paraId="4FDF4B96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4638BC3" w14:textId="77777777" w:rsidR="00D01802" w:rsidRPr="00D01802" w:rsidRDefault="00D01802" w:rsidP="00D0180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D01802">
        <w:rPr>
          <w:rFonts w:ascii="Times New Roman" w:hAnsi="Times New Roman" w:cs="Times New Roman"/>
          <w:color w:val="000000"/>
        </w:rPr>
        <w:t>Kod proračunskog korisnika DV Zeko je došlo do razlike između prosječnog broja zaposlenih kod korisnika na osnovi stanja na</w:t>
      </w:r>
      <w:r w:rsidRPr="00D01802">
        <w:rPr>
          <w:rFonts w:ascii="Times New Roman" w:hAnsi="Times New Roman" w:cs="Times New Roman"/>
          <w:color w:val="222222"/>
        </w:rPr>
        <w:t xml:space="preserve"> </w:t>
      </w:r>
      <w:r w:rsidRPr="00D01802">
        <w:rPr>
          <w:rFonts w:ascii="Times New Roman" w:hAnsi="Times New Roman" w:cs="Times New Roman"/>
          <w:color w:val="000000"/>
        </w:rPr>
        <w:t>početku i na kraju izvještajnog razdoblja (20) i prosječnog broja zaposlenih kod</w:t>
      </w:r>
      <w:r w:rsidRPr="00D01802">
        <w:rPr>
          <w:rFonts w:ascii="Times New Roman" w:hAnsi="Times New Roman" w:cs="Times New Roman"/>
          <w:color w:val="222222"/>
        </w:rPr>
        <w:t xml:space="preserve"> </w:t>
      </w:r>
      <w:r w:rsidRPr="00D01802">
        <w:rPr>
          <w:rFonts w:ascii="Times New Roman" w:hAnsi="Times New Roman" w:cs="Times New Roman"/>
          <w:color w:val="000000"/>
        </w:rPr>
        <w:t>korisnika na osnovi sati rada (13) zbog zaposlenica na komplikacijama u trudnoći, rodiljnog i roditeljskog dopusta, dopusta radi njege i skrbi djeteta s teškoćama i korištenja bolovanja i bolovanja zbog njege djece.</w:t>
      </w:r>
    </w:p>
    <w:p w14:paraId="39F5A29D" w14:textId="77777777" w:rsidR="00D01802" w:rsidRPr="00D01802" w:rsidRDefault="00D01802" w:rsidP="00D01802">
      <w:pPr>
        <w:shd w:val="clear" w:color="auto" w:fill="FFFFFF"/>
        <w:jc w:val="both"/>
        <w:rPr>
          <w:rFonts w:ascii="Times New Roman" w:hAnsi="Times New Roman" w:cs="Times New Roman"/>
          <w:color w:val="222222"/>
        </w:rPr>
      </w:pPr>
    </w:p>
    <w:p w14:paraId="0A9C3313" w14:textId="77777777" w:rsidR="00D01802" w:rsidRPr="00D01802" w:rsidRDefault="00D01802" w:rsidP="00D01802">
      <w:pPr>
        <w:rPr>
          <w:rFonts w:ascii="Times New Roman" w:hAnsi="Times New Roman" w:cs="Times New Roman"/>
        </w:rPr>
      </w:pPr>
    </w:p>
    <w:p w14:paraId="25600FA2" w14:textId="77777777" w:rsidR="00D01802" w:rsidRPr="00D01802" w:rsidRDefault="00D01802" w:rsidP="00D0180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P-VRIO</w:t>
      </w:r>
    </w:p>
    <w:p w14:paraId="71448860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  <w:color w:val="FF0000"/>
        </w:rPr>
      </w:pPr>
    </w:p>
    <w:p w14:paraId="6D30B28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/>
        </w:rPr>
        <w:t xml:space="preserve">- </w:t>
      </w:r>
      <w:r w:rsidRPr="00D01802">
        <w:rPr>
          <w:rFonts w:ascii="Times New Roman" w:hAnsi="Times New Roman" w:cs="Times New Roman"/>
        </w:rPr>
        <w:t xml:space="preserve">P002 – do povećanja je došlo zbog darovanja građevinskog zemljišta od strane OBŽ-a po ugovoru br. 180/2024 u svrhu izgradnje multifunkcionalnog igrališta u Zmajevcu (Vašarište) </w:t>
      </w:r>
    </w:p>
    <w:p w14:paraId="003CBA6F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/>
        </w:rPr>
        <w:t xml:space="preserve">- </w:t>
      </w:r>
      <w:r w:rsidRPr="00D01802">
        <w:rPr>
          <w:rFonts w:ascii="Times New Roman" w:hAnsi="Times New Roman" w:cs="Times New Roman"/>
        </w:rPr>
        <w:t>P002 – do smanjenja je došlo zbog isknjiženja vrijednosti ošasne imovine po rješenju (nekretnine pod inventarnim brojevima 1497 i 1498)</w:t>
      </w:r>
    </w:p>
    <w:p w14:paraId="34C8F76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/>
        </w:rPr>
        <w:t xml:space="preserve">- </w:t>
      </w:r>
      <w:r w:rsidRPr="00D01802">
        <w:rPr>
          <w:rFonts w:ascii="Times New Roman" w:hAnsi="Times New Roman" w:cs="Times New Roman"/>
        </w:rPr>
        <w:t>P003 – do povećanja je došlo zbog uknjiženja ošasne imovine po rješenju (nekretnina pod inventarnim brojem 1568) i prijenosa knjigovodstvene vrijednosti ulaganja - taložnica i propust kanala u Karancu od strane OBŽ-a po rješenju (pod inventarnim brojem 1567)</w:t>
      </w:r>
    </w:p>
    <w:p w14:paraId="1CC75A4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/>
        </w:rPr>
        <w:t xml:space="preserve">- </w:t>
      </w:r>
      <w:r w:rsidRPr="00D01802">
        <w:rPr>
          <w:rFonts w:ascii="Times New Roman" w:hAnsi="Times New Roman" w:cs="Times New Roman"/>
        </w:rPr>
        <w:t>P029 – do smanjenja je došlo zbog Odluke o otpisu potraživanja (KLASA: 406-01/24-01/01) zbog zastare.</w:t>
      </w:r>
    </w:p>
    <w:p w14:paraId="26DDFD7A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2D51FBF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3D3B6FD2" w14:textId="77777777" w:rsidR="00D01802" w:rsidRPr="00D01802" w:rsidRDefault="00D01802" w:rsidP="00D01802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 xml:space="preserve">OBVEZE </w:t>
      </w:r>
    </w:p>
    <w:p w14:paraId="2C3D9D43" w14:textId="77777777" w:rsidR="00D01802" w:rsidRPr="00D01802" w:rsidRDefault="00D01802" w:rsidP="00D01802">
      <w:pPr>
        <w:ind w:left="1428"/>
        <w:rPr>
          <w:rFonts w:ascii="Times New Roman" w:hAnsi="Times New Roman" w:cs="Times New Roman"/>
          <w:b/>
        </w:rPr>
      </w:pPr>
    </w:p>
    <w:p w14:paraId="52C6E23D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Stanje obveza sa 1.1.2024. godine iznosilo je 2.255.720,52 €, a na kraju izvještajnog razdoblja sa 31.12.2024. godine one iznose 2.206.305,06 €. Od toga je dospjelo 967,97 €, a nedospjelo 2.205.337,09 €.</w:t>
      </w:r>
    </w:p>
    <w:p w14:paraId="32E22244" w14:textId="77777777" w:rsidR="00D01802" w:rsidRPr="00D01802" w:rsidRDefault="00D01802" w:rsidP="00D01802">
      <w:pPr>
        <w:rPr>
          <w:rFonts w:ascii="Times New Roman" w:hAnsi="Times New Roman" w:cs="Times New Roman"/>
          <w:color w:val="FF0000"/>
        </w:rPr>
      </w:pPr>
    </w:p>
    <w:p w14:paraId="284957F5" w14:textId="77777777" w:rsidR="00D01802" w:rsidRPr="00D01802" w:rsidRDefault="00D01802" w:rsidP="00D01802">
      <w:pPr>
        <w:rPr>
          <w:rFonts w:ascii="Times New Roman" w:hAnsi="Times New Roman" w:cs="Times New Roman"/>
          <w:color w:val="FF0000"/>
        </w:rPr>
      </w:pPr>
    </w:p>
    <w:p w14:paraId="20C00FE6" w14:textId="77777777" w:rsidR="00D01802" w:rsidRPr="00D01802" w:rsidRDefault="00D01802" w:rsidP="00D0180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t>RAS-funkcijski</w:t>
      </w:r>
    </w:p>
    <w:p w14:paraId="032E9F62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2EA5284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Cs/>
        </w:rPr>
        <w:t xml:space="preserve">-0111 </w:t>
      </w:r>
      <w:r w:rsidRPr="00D01802">
        <w:rPr>
          <w:rFonts w:ascii="Times New Roman" w:hAnsi="Times New Roman" w:cs="Times New Roman"/>
        </w:rPr>
        <w:t>– do povećanja u odnosu na prošlu godinu je došlo zbog izgradnje zgrade javne namjene - upravne zgrade Općine</w:t>
      </w:r>
    </w:p>
    <w:p w14:paraId="1105FB31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Cs/>
        </w:rPr>
      </w:pPr>
      <w:r w:rsidRPr="00D01802">
        <w:rPr>
          <w:rFonts w:ascii="Times New Roman" w:hAnsi="Times New Roman" w:cs="Times New Roman"/>
          <w:bCs/>
        </w:rPr>
        <w:t xml:space="preserve">-0423 Ribarstvo i lov </w:t>
      </w:r>
      <w:r w:rsidRPr="00D01802">
        <w:rPr>
          <w:rFonts w:ascii="Times New Roman" w:hAnsi="Times New Roman" w:cs="Times New Roman"/>
        </w:rPr>
        <w:t>– do smanjenja u odnosu na prošlu godinu je došlo zbog</w:t>
      </w:r>
      <w:r w:rsidRPr="00D01802">
        <w:rPr>
          <w:rFonts w:ascii="Times New Roman" w:hAnsi="Times New Roman" w:cs="Times New Roman"/>
          <w:bCs/>
        </w:rPr>
        <w:t xml:space="preserve"> uređenja Lovačkog doma u Karancu i Jasenovcu u 2023. godini</w:t>
      </w:r>
    </w:p>
    <w:p w14:paraId="2D824C6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Cs/>
        </w:rPr>
        <w:t>-051 Gospodarenje otpadom</w:t>
      </w:r>
      <w:r w:rsidRPr="00D01802">
        <w:rPr>
          <w:rFonts w:ascii="Times New Roman" w:hAnsi="Times New Roman" w:cs="Times New Roman"/>
        </w:rPr>
        <w:t xml:space="preserve">  – do smanjenja u odnosu na prošlu godinu je došlo zbog nabave komunalne opreme (kante za razvrstani otpad i komposteri) u 2023. godini</w:t>
      </w:r>
    </w:p>
    <w:p w14:paraId="7ABA282A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Cs/>
        </w:rPr>
        <w:t>-061 Razvoj stanovanja</w:t>
      </w:r>
      <w:r w:rsidRPr="00D01802">
        <w:rPr>
          <w:rFonts w:ascii="Times New Roman" w:hAnsi="Times New Roman" w:cs="Times New Roman"/>
        </w:rPr>
        <w:t xml:space="preserve">  – do povećanja u odnosu na prošlu godinu je došlo zbog  izgradnje multifunkcionalnog igrališta u Zmajevcu-Vašarište (UG 166/24)</w:t>
      </w:r>
    </w:p>
    <w:p w14:paraId="52A3D32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Cs/>
        </w:rPr>
        <w:t>-062 Razvoj zajednice</w:t>
      </w:r>
      <w:r w:rsidRPr="00D01802">
        <w:rPr>
          <w:rFonts w:ascii="Times New Roman" w:hAnsi="Times New Roman" w:cs="Times New Roman"/>
        </w:rPr>
        <w:t xml:space="preserve">  – do povećanja u odnosu na prošlu godinu je došlo zbog  izgradnje Interpretacijskog etno-centra Karanac </w:t>
      </w:r>
    </w:p>
    <w:p w14:paraId="71E8A821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  <w:bCs/>
        </w:rPr>
        <w:t>-064 Ulična rasvjeta</w:t>
      </w:r>
      <w:r w:rsidRPr="00D01802">
        <w:rPr>
          <w:rFonts w:ascii="Times New Roman" w:hAnsi="Times New Roman" w:cs="Times New Roman"/>
        </w:rPr>
        <w:t xml:space="preserve">  – do smanjenja u odnosu na prošlu godinu je došlo jer je u 2024. godini isplaćen ugovor za provedbu energetske učinkovitosti javne rasvjete po ESCO modelu</w:t>
      </w:r>
    </w:p>
    <w:p w14:paraId="0586EAD6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Cs/>
        </w:rPr>
        <w:t xml:space="preserve">-0911 </w:t>
      </w:r>
      <w:r w:rsidRPr="00D01802">
        <w:rPr>
          <w:rFonts w:ascii="Times New Roman" w:hAnsi="Times New Roman" w:cs="Times New Roman"/>
        </w:rPr>
        <w:t xml:space="preserve">Predškolsko obrazovanje  – do povećanja u odnosu na prošlu godinu je došlo zbog izrade projektno tehničke dokumentacije za izgradnju dječjeg vrtića u Karancu po ugovoru 193/2023, zbog izgradnje Cageball-a po ugovoru 141/2024 i zbog sufinanciranja participacije roditelja u pohađanju dječjeg vrtića. </w:t>
      </w:r>
    </w:p>
    <w:p w14:paraId="23EBB623" w14:textId="77777777" w:rsid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0BBA41D5" w14:textId="77777777" w:rsid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20A26E0F" w14:textId="77777777" w:rsidR="00D01802" w:rsidRPr="00D01802" w:rsidRDefault="00D01802" w:rsidP="00D01802">
      <w:pPr>
        <w:jc w:val="both"/>
        <w:rPr>
          <w:rFonts w:ascii="Times New Roman" w:hAnsi="Times New Roman" w:cs="Times New Roman"/>
          <w:b/>
        </w:rPr>
      </w:pPr>
    </w:p>
    <w:p w14:paraId="24B71E81" w14:textId="77777777" w:rsidR="00D01802" w:rsidRPr="00D01802" w:rsidRDefault="00D01802" w:rsidP="00D01802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01802">
        <w:rPr>
          <w:rFonts w:ascii="Times New Roman" w:hAnsi="Times New Roman" w:cs="Times New Roman"/>
          <w:b/>
        </w:rPr>
        <w:lastRenderedPageBreak/>
        <w:t>Bilanca</w:t>
      </w:r>
    </w:p>
    <w:p w14:paraId="201A00C6" w14:textId="77777777" w:rsidR="00D01802" w:rsidRPr="00D01802" w:rsidRDefault="00D01802" w:rsidP="00D01802">
      <w:pPr>
        <w:ind w:left="1428"/>
        <w:rPr>
          <w:rFonts w:ascii="Times New Roman" w:hAnsi="Times New Roman" w:cs="Times New Roman"/>
          <w:b/>
        </w:rPr>
      </w:pPr>
    </w:p>
    <w:p w14:paraId="209C7177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Rezultat poslovanja sa 1.1.2024. godine sastoji se od viška prihoda poslovanja u ukupnom iznosu od 644.492,96 €, manjka od nefinancijske imovine u iznosu od 141.767,74 € i višak primitaka od financijske imovine u iznosu od 55.720,10 €.</w:t>
      </w:r>
    </w:p>
    <w:p w14:paraId="2CB9AB49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69ECED2D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Po Odluci o raspodjeli rezultata Općine Kneževi Vinogradi za 2023. godinu pokriven je manjak od nefinancijske imovine u cijelosti i to iz viška primitaka od financijske imovine u iznosu od 55.720,10 € i iz viška prihoda poslovanja u iznosu od 86.047,64 €. Nakon provedenog knjiženja rezultat poslovanja za 2023. godinu višak prihoda poslovanja  iznosi od 562.381,68 €.</w:t>
      </w:r>
    </w:p>
    <w:p w14:paraId="4153D98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8CBCA8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Izvršena je 1. korekcija rezultata Općine Kneževi Vinogradi preknjiženjem viška prihoda poslovanja u iznosu od 809.405,46 € (iznos se sastoji od kapitalnih pomoći iz državnog proračuna u iznosu od  732.728,70 €, kapitalnih pomoći iz županijskog proračuna u iznosu od 39.631,10 €, kapitalnih pomoći od ostalih izvanproračunskih korisnika državnog proračuna u iznosu od 35.754,66 €,   kapitalnih donacija od neprofitnih organizacija u iznosu od 1.291,00) za pokriće manjka od nefinancijske imovine. </w:t>
      </w:r>
    </w:p>
    <w:p w14:paraId="4D25A4BD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 </w:t>
      </w:r>
    </w:p>
    <w:p w14:paraId="382DBEA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4DF6E36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Rezultat poslovanja Općine Kneževi Vinogradi nakon izvršenih korekcija je sljedeći: </w:t>
      </w:r>
    </w:p>
    <w:p w14:paraId="137EDA1C" w14:textId="77777777" w:rsidR="00D01802" w:rsidRPr="00D01802" w:rsidRDefault="00D01802" w:rsidP="00D0180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Višak prihoda poslovanja iznosi 911.969,99 €</w:t>
      </w:r>
    </w:p>
    <w:p w14:paraId="04822909" w14:textId="77777777" w:rsidR="00D01802" w:rsidRPr="00D01802" w:rsidRDefault="00D01802" w:rsidP="00D0180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Manjak prihoda od nefinancijske imovine iznosi 515.332,03 €</w:t>
      </w:r>
    </w:p>
    <w:p w14:paraId="106CEEFA" w14:textId="77777777" w:rsidR="00D01802" w:rsidRPr="00D01802" w:rsidRDefault="00D01802" w:rsidP="00D0180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Višak primitaka od financijske imovine iznosi 2.495,33 €.</w:t>
      </w:r>
    </w:p>
    <w:p w14:paraId="3E18A2D8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522C10E2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Proračunski korisnik dječji vrtić „Zeko“ je sa 01.01.2024. godine ostvario je manjak prihoda poslovanja u iznosu od 3.936,36 €. Rezultat poslovanja sa 31.12.2024. godine je sljedeći:</w:t>
      </w:r>
    </w:p>
    <w:p w14:paraId="7F9094D3" w14:textId="77777777" w:rsidR="00D01802" w:rsidRPr="00D01802" w:rsidRDefault="00D01802" w:rsidP="00D0180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Višak prihoda poslovanja iznosi  268,22 €.</w:t>
      </w:r>
    </w:p>
    <w:p w14:paraId="68AA63FA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6BCA5B70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Nakon izvršene konsolidacije rezultat je sljedeći:</w:t>
      </w:r>
    </w:p>
    <w:p w14:paraId="4D22CDED" w14:textId="77777777" w:rsidR="00D01802" w:rsidRPr="00D01802" w:rsidRDefault="00D01802" w:rsidP="00D0180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Višak prihoda poslovanja iznosi 912.238,21 €</w:t>
      </w:r>
    </w:p>
    <w:p w14:paraId="4B42C8DA" w14:textId="77777777" w:rsidR="00D01802" w:rsidRPr="00D01802" w:rsidRDefault="00D01802" w:rsidP="00D0180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Manjak prihoda od nefinancijske imovine iznosi 515.332,03 €</w:t>
      </w:r>
    </w:p>
    <w:p w14:paraId="5C201F2C" w14:textId="77777777" w:rsidR="00D01802" w:rsidRPr="00D01802" w:rsidRDefault="00D01802" w:rsidP="00D0180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>Višak primitaka od financijske imovine iznosi 2.495,33 €.</w:t>
      </w:r>
    </w:p>
    <w:p w14:paraId="5758BBDE" w14:textId="77777777" w:rsidR="00D01802" w:rsidRPr="00D01802" w:rsidRDefault="00D01802" w:rsidP="00D01802">
      <w:pPr>
        <w:ind w:left="720"/>
        <w:jc w:val="both"/>
        <w:rPr>
          <w:rFonts w:ascii="Times New Roman" w:hAnsi="Times New Roman" w:cs="Times New Roman"/>
        </w:rPr>
      </w:pPr>
    </w:p>
    <w:p w14:paraId="022C082C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</w:p>
    <w:p w14:paraId="6E422F43" w14:textId="77777777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  <w:t xml:space="preserve">             </w:t>
      </w:r>
    </w:p>
    <w:p w14:paraId="7C1C0EC8" w14:textId="7A8D010A" w:rsidR="00D01802" w:rsidRPr="00D01802" w:rsidRDefault="00D01802" w:rsidP="00D01802">
      <w:pPr>
        <w:ind w:left="4956"/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  <w:t xml:space="preserve"> </w:t>
      </w:r>
      <w:r w:rsidRPr="00D01802">
        <w:rPr>
          <w:rFonts w:ascii="Times New Roman" w:hAnsi="Times New Roman" w:cs="Times New Roman"/>
        </w:rPr>
        <w:t xml:space="preserve">OPĆINSKI NAČELNIK </w:t>
      </w:r>
    </w:p>
    <w:p w14:paraId="5B6FFFB9" w14:textId="4F75F035" w:rsidR="00D01802" w:rsidRPr="00D01802" w:rsidRDefault="00D01802" w:rsidP="00D01802">
      <w:pPr>
        <w:jc w:val="both"/>
        <w:rPr>
          <w:rFonts w:ascii="Times New Roman" w:hAnsi="Times New Roman" w:cs="Times New Roman"/>
        </w:rPr>
      </w:pP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 w:rsidRPr="00D01802">
        <w:rPr>
          <w:rFonts w:ascii="Times New Roman" w:hAnsi="Times New Roman" w:cs="Times New Roman"/>
        </w:rPr>
        <w:t>Vedran Kramarić, mag.iur.</w:t>
      </w:r>
    </w:p>
    <w:p w14:paraId="5D8B9E09" w14:textId="62F14343" w:rsidR="00B92D0F" w:rsidRPr="00D01802" w:rsidRDefault="00B92D0F" w:rsidP="00D01802">
      <w:pPr>
        <w:jc w:val="both"/>
        <w:rPr>
          <w:rFonts w:ascii="Times New Roman" w:eastAsia="Times New Roman" w:hAnsi="Times New Roman" w:cs="Times New Roman"/>
          <w:noProof w:val="0"/>
        </w:rPr>
      </w:pPr>
    </w:p>
    <w:p w14:paraId="503AA9F7" w14:textId="77777777" w:rsidR="00B92D0F" w:rsidRPr="00D01802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</w:rPr>
      </w:pPr>
    </w:p>
    <w:p w14:paraId="75975BBE" w14:textId="77777777" w:rsidR="00B92D0F" w:rsidRPr="00D01802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</w:rPr>
      </w:pPr>
    </w:p>
    <w:p w14:paraId="4AA78142" w14:textId="77777777" w:rsidR="00B92D0F" w:rsidRPr="00D01802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</w:rPr>
      </w:pPr>
    </w:p>
    <w:p w14:paraId="53408CE5" w14:textId="12261E34" w:rsidR="008A562A" w:rsidRDefault="00D707B3">
      <w:pPr>
        <w:rPr>
          <w:b/>
        </w:rPr>
      </w:pPr>
      <w:r>
        <w:rPr>
          <w:b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6E6A168A" wp14:editId="71E2500E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7777777" w:rsidR="008A562A" w:rsidRDefault="008A562A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DW&#10;3syc4AAAAAwBAAAPAAAAAAAAAAAAAAAAAGgEAABkcnMvZG93bnJldi54bWxQSwUGAAAAAAQABADz&#10;AAAAdQUAAAAA&#10;" stroked="f">
                <v:textbox>
                  <w:txbxContent>
                    <w:p w14:paraId="76EF94CE" w14:textId="77777777" w:rsidR="008A562A" w:rsidRDefault="008A562A">
                      <w:pPr>
                        <w:contextualSpacing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02A"/>
    <w:multiLevelType w:val="hybridMultilevel"/>
    <w:tmpl w:val="19D43B24"/>
    <w:lvl w:ilvl="0" w:tplc="8BEAF0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64A9B"/>
    <w:multiLevelType w:val="hybridMultilevel"/>
    <w:tmpl w:val="E42044DC"/>
    <w:lvl w:ilvl="0" w:tplc="A73422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5926487">
    <w:abstractNumId w:val="1"/>
  </w:num>
  <w:num w:numId="2" w16cid:durableId="731806624">
    <w:abstractNumId w:val="0"/>
  </w:num>
  <w:num w:numId="3" w16cid:durableId="100998613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275B0C"/>
    <w:rsid w:val="00347D72"/>
    <w:rsid w:val="003643E5"/>
    <w:rsid w:val="003F65C1"/>
    <w:rsid w:val="00693AB1"/>
    <w:rsid w:val="008A562A"/>
    <w:rsid w:val="008C5FE5"/>
    <w:rsid w:val="009941D2"/>
    <w:rsid w:val="009B7A12"/>
    <w:rsid w:val="00A836D0"/>
    <w:rsid w:val="00AC35DA"/>
    <w:rsid w:val="00AD6D2C"/>
    <w:rsid w:val="00B92D0F"/>
    <w:rsid w:val="00C9578C"/>
    <w:rsid w:val="00D01802"/>
    <w:rsid w:val="00D574D6"/>
    <w:rsid w:val="00D707B3"/>
    <w:rsid w:val="00E5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E8314275-518D-4A64-A814-6A21A693064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Zeljka Kolaric</cp:lastModifiedBy>
  <cp:revision>5</cp:revision>
  <cp:lastPrinted>2014-11-26T14:09:00Z</cp:lastPrinted>
  <dcterms:created xsi:type="dcterms:W3CDTF">2023-03-21T06:40:00Z</dcterms:created>
  <dcterms:modified xsi:type="dcterms:W3CDTF">2025-02-22T12:01:00Z</dcterms:modified>
</cp:coreProperties>
</file>